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5C2FB6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pPr w:leftFromText="141" w:rightFromText="141" w:vertAnchor="text" w:tblpXSpec="right" w:tblpY="1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1DAB3837" w:rsidR="008D31AA" w:rsidRPr="00A621D4" w:rsidRDefault="000E333C" w:rsidP="00FC6D9C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A621D4">
              <w:rPr>
                <w:rFonts w:ascii="Roboto Condensed" w:eastAsia="Calibri" w:hAnsi="Roboto Condensed" w:cs="Calibri"/>
                <w:b/>
              </w:rPr>
              <w:t>Finanse empiryczne</w:t>
            </w:r>
          </w:p>
        </w:tc>
      </w:tr>
      <w:tr w:rsidR="008D31AA" w:rsidRPr="00DE526E" w14:paraId="65D5A900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3F4BF1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12FCEE70" w:rsidR="008D31AA" w:rsidRPr="00DE526E" w:rsidRDefault="000E333C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WF-FR-DI-X2-20</w:t>
            </w:r>
            <w:r w:rsidRPr="000E333C">
              <w:rPr>
                <w:rFonts w:ascii="Roboto Condensed" w:eastAsia="Calibri" w:hAnsi="Roboto Condensed" w:cs="Calibri"/>
              </w:rPr>
              <w:t>/</w:t>
            </w:r>
            <w:r>
              <w:rPr>
                <w:rFonts w:ascii="Roboto Condensed" w:eastAsia="Calibri" w:hAnsi="Roboto Condensed" w:cs="Calibri"/>
              </w:rPr>
              <w:t>21</w:t>
            </w:r>
            <w:r w:rsidR="00043FE8">
              <w:rPr>
                <w:rFonts w:ascii="Roboto Condensed" w:eastAsia="Calibri" w:hAnsi="Roboto Condensed" w:cs="Calibri"/>
              </w:rPr>
              <w:t>Z</w:t>
            </w:r>
            <w:r>
              <w:rPr>
                <w:rFonts w:ascii="Roboto Condensed" w:eastAsia="Calibri" w:hAnsi="Roboto Condensed" w:cs="Calibri"/>
              </w:rPr>
              <w:t>–FINEMP / Doradztwo inwestycyjne</w:t>
            </w:r>
          </w:p>
        </w:tc>
      </w:tr>
      <w:tr w:rsidR="00080011" w:rsidRPr="00DE526E" w14:paraId="17487938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C6D9C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 w:rsidP="00FC6D9C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3F4BF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 w:rsidP="00FC6D9C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54C1176C" w:rsidR="008D31AA" w:rsidRPr="00704C72" w:rsidRDefault="003F4BF1" w:rsidP="00FC6D9C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777777" w:rsidR="008D31AA" w:rsidRPr="00DE526E" w:rsidRDefault="00704C7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 / 3</w:t>
            </w:r>
          </w:p>
        </w:tc>
      </w:tr>
      <w:tr w:rsidR="008D31AA" w:rsidRPr="00DE526E" w14:paraId="170843F6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3B40B882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547160C0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FC6D9C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0E333C" w:rsidRPr="00DE526E" w14:paraId="2E4BF10C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5AD94F" w14:textId="2740052B" w:rsidR="000E333C" w:rsidRPr="00704C72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F4FAA79" w14:textId="5E1316D7" w:rsidR="000E333C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2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16325C44" w:rsidR="00C93F95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Matematyka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20AF7AB3" w:rsidR="00C93F95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2</w:t>
                  </w:r>
                </w:p>
              </w:tc>
            </w:tr>
          </w:tbl>
          <w:p w14:paraId="70F62221" w14:textId="77777777" w:rsidR="002930D5" w:rsidRPr="00DE526E" w:rsidRDefault="002930D5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1AB243DB" w:rsidR="008D31AA" w:rsidRPr="00DE526E" w:rsidRDefault="00704C7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0E333C">
              <w:rPr>
                <w:rFonts w:ascii="Roboto Condensed" w:eastAsia="Calibri" w:hAnsi="Roboto Condensed" w:cs="Calibri"/>
              </w:rPr>
              <w:t>Małgorzata Snarska</w:t>
            </w:r>
          </w:p>
        </w:tc>
      </w:tr>
      <w:tr w:rsidR="008D31AA" w:rsidRPr="00DE526E" w14:paraId="65F44A78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4E0F0D16" w:rsidR="008D31AA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Zastosowanie metod statystycznych do opisu i analizy procesów ekonomicznych i finansowych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6CE73A96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Modelowanie procesów ekonomicznych i finansowych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70232F6F" w:rsidR="008D31AA" w:rsidRPr="00DE526E" w:rsidRDefault="000E333C" w:rsidP="0005128A">
                  <w:pPr>
                    <w:framePr w:hSpace="141" w:wrap="around" w:vAnchor="text" w:hAnchor="text" w:xAlign="right" w:y="1"/>
                    <w:tabs>
                      <w:tab w:val="left" w:pos="1040"/>
                    </w:tabs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Prognozowanie procesów ekonomicznych i finansowych</w:t>
                  </w:r>
                </w:p>
              </w:tc>
            </w:tr>
          </w:tbl>
          <w:p w14:paraId="4AF64CFC" w14:textId="77777777" w:rsidR="008D31AA" w:rsidRPr="00DE526E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666E24" w14:paraId="59E84B15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9513CA" w:rsidRPr="00DE526E" w14:paraId="0186A7B7" w14:textId="77777777" w:rsidTr="009513CA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05E14614" w:rsidR="009513CA" w:rsidRPr="00DE526E" w:rsidRDefault="003F4BF1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2DE279E7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29AEE00" w14:textId="43282778" w:rsidR="009513CA" w:rsidRPr="008516AE" w:rsidRDefault="00666E24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9513CA" w:rsidRPr="008516AE">
                    <w:rPr>
                      <w:rFonts w:ascii="Roboto Condensed" w:eastAsia="Calibri" w:hAnsi="Roboto Condensed" w:cs="Calibri"/>
                    </w:rPr>
                    <w:t xml:space="preserve">osiada rozszerzoną wiedzę na temat wybranych współczesnych modeli oraz narzędzi opisu procesów ekonomicznych i finansowych. </w:t>
                  </w: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9513CA" w:rsidRPr="008516AE">
                    <w:rPr>
                      <w:rFonts w:ascii="Roboto Condensed" w:eastAsia="Calibri" w:hAnsi="Roboto Condensed" w:cs="Calibri"/>
                    </w:rPr>
                    <w:t>osiada</w:t>
                  </w:r>
                </w:p>
                <w:p w14:paraId="0CA91C4B" w14:textId="77777777" w:rsidR="009513CA" w:rsidRPr="008516A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8516AE">
                    <w:rPr>
                      <w:rFonts w:ascii="Roboto Condensed" w:eastAsia="Calibri" w:hAnsi="Roboto Condensed" w:cs="Calibri"/>
                    </w:rPr>
                    <w:t>rozszerzoną wiedzę na temat modelowania i prognozowania finansowych i ekonomicznych szeregów czasowych za pomocą procesów</w:t>
                  </w:r>
                </w:p>
                <w:p w14:paraId="66198A8D" w14:textId="4EAF15C1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8516AE">
                    <w:rPr>
                      <w:rFonts w:ascii="Roboto Condensed" w:eastAsia="Calibri" w:hAnsi="Roboto Condensed" w:cs="Calibri"/>
                    </w:rPr>
                    <w:t>stochastycznych.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B007766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WF-ST2-FR-W01-20/21Z</w:t>
                  </w:r>
                </w:p>
                <w:p w14:paraId="2BF13848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6008ECC8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5170B190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6B58B348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4E2C66B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AE2DB0D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</w:p>
                <w:p w14:paraId="7BFA55F0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</w:p>
                <w:p w14:paraId="4DBFDEAF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</w:p>
                <w:p w14:paraId="54CEBB36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9513CA" w:rsidRPr="00DE526E" w14:paraId="158EB82A" w14:textId="77777777" w:rsidTr="009513CA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6E18DC35" w:rsidR="009513CA" w:rsidRPr="00DE526E" w:rsidRDefault="003F4BF1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646B5394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0524C0A" w14:textId="28F0BC2E" w:rsidR="009513CA" w:rsidRPr="008516AE" w:rsidRDefault="00666E24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9513CA" w:rsidRPr="008516AE">
                    <w:rPr>
                      <w:rFonts w:ascii="Roboto Condensed" w:eastAsia="Calibri" w:hAnsi="Roboto Condensed" w:cs="Calibri"/>
                    </w:rPr>
                    <w:t xml:space="preserve">otrafi wykorzystać pakiety obliczeniowo-statystyczne w modelowaniu i prognozowaniu procesów finansowych </w:t>
                  </w:r>
                  <w:r w:rsidR="009513CA" w:rsidRPr="008516AE">
                    <w:rPr>
                      <w:rFonts w:ascii="Roboto Condensed" w:eastAsia="Calibri" w:hAnsi="Roboto Condensed" w:cs="Calibri"/>
                    </w:rPr>
                    <w:lastRenderedPageBreak/>
                    <w:t>i ekonomicznych (np. MS Excel,</w:t>
                  </w:r>
                </w:p>
                <w:p w14:paraId="503C134B" w14:textId="62AAC9AF" w:rsidR="009513CA" w:rsidRPr="008516A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8516AE">
                    <w:rPr>
                      <w:rFonts w:ascii="Roboto Condensed" w:eastAsia="Calibri" w:hAnsi="Roboto Condensed" w:cs="Calibri"/>
                    </w:rPr>
                    <w:t xml:space="preserve">Gretl, R). </w:t>
                  </w:r>
                  <w:r w:rsidR="00666E24">
                    <w:rPr>
                      <w:rFonts w:ascii="Roboto Condensed" w:eastAsia="Calibri" w:hAnsi="Roboto Condensed" w:cs="Calibri"/>
                    </w:rPr>
                    <w:t>Student umie</w:t>
                  </w:r>
                  <w:r w:rsidRPr="008516AE">
                    <w:rPr>
                      <w:rFonts w:ascii="Roboto Condensed" w:eastAsia="Calibri" w:hAnsi="Roboto Condensed" w:cs="Calibri"/>
                    </w:rPr>
                    <w:t xml:space="preserve"> budować i weryfikować ekonometryczne modele finansowych i ekonomicznych szeregów czasowych oraz wykorzystywać je do</w:t>
                  </w:r>
                </w:p>
                <w:p w14:paraId="3C2A4124" w14:textId="2BBD0129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8516AE">
                    <w:rPr>
                      <w:rFonts w:ascii="Roboto Condensed" w:eastAsia="Calibri" w:hAnsi="Roboto Condensed" w:cs="Calibri"/>
                    </w:rPr>
                    <w:t>opisu np. dynamiki cen aktywów i prognozowania wybranych wielkości.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9F0E614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9B7507A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8972F8A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B078517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A89B9E4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40AD4774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29B0EFF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</w:pPr>
                </w:p>
                <w:p w14:paraId="3C11E519" w14:textId="77777777" w:rsidR="009513CA" w:rsidRPr="00DE526E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9513CA" w:rsidRPr="00666E24" w14:paraId="17079CD9" w14:textId="77777777" w:rsidTr="009513CA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326BA60" w14:textId="7D316618" w:rsidR="009513CA" w:rsidRPr="00DE526E" w:rsidRDefault="003F4BF1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C8E63D" w14:textId="1A18DCF8" w:rsidR="009513CA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935AB8B" w14:textId="314C3FC3" w:rsidR="009513CA" w:rsidRPr="008516AE" w:rsidRDefault="00666E24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charakteryzuje się obowiązkowym, odpowiedzialnym i etycznym podejściem do podejmowanych działań; w szczególności do studiowanego przedmiotu.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9B2F05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5967993F" w14:textId="77777777" w:rsidR="009513CA" w:rsidRPr="0052484C" w:rsidRDefault="009513CA" w:rsidP="0005128A">
                  <w:pPr>
                    <w:framePr w:hSpace="141" w:wrap="around" w:vAnchor="text" w:hAnchor="text" w:xAlign="right" w:y="1"/>
                    <w:suppressOverlap/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5B02D739" w14:textId="77777777" w:rsidR="009513CA" w:rsidRPr="009513CA" w:rsidRDefault="009513C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9513CA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FC6D9C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C6D9C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621E8069" w:rsidR="008D31AA" w:rsidRPr="00DE526E" w:rsidRDefault="003F4BF1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  <w:sz w:val="20"/>
              </w:rPr>
              <w:t>egzamin pisemny,</w:t>
            </w:r>
            <w:r w:rsidR="000E333C" w:rsidRPr="000E333C">
              <w:rPr>
                <w:rFonts w:ascii="Roboto Condensed" w:eastAsia="Calibri" w:hAnsi="Roboto Condensed" w:cs="Calibri"/>
                <w:sz w:val="20"/>
              </w:rPr>
              <w:t xml:space="preserve"> kolokwium, praca pisemna, test wyboru, </w:t>
            </w:r>
            <w:r w:rsidR="000E333C">
              <w:rPr>
                <w:rFonts w:ascii="Roboto Condensed" w:eastAsia="Calibri" w:hAnsi="Roboto Condensed" w:cs="Calibri"/>
                <w:sz w:val="20"/>
              </w:rPr>
              <w:t>projekt indywidualny</w:t>
            </w:r>
            <w:r w:rsidR="000E333C" w:rsidRPr="000E333C">
              <w:rPr>
                <w:rFonts w:ascii="Roboto Condensed" w:eastAsia="Calibri" w:hAnsi="Roboto Condensed" w:cs="Calibri"/>
                <w:sz w:val="20"/>
              </w:rPr>
              <w:t>, inne</w:t>
            </w:r>
          </w:p>
        </w:tc>
      </w:tr>
      <w:tr w:rsidR="008D31AA" w:rsidRPr="00DE526E" w14:paraId="26B2D2ED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FC6D9C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424DB36B" w:rsidR="00704C72" w:rsidRPr="00DE526E" w:rsidRDefault="000E333C" w:rsidP="0005128A">
                  <w:pPr>
                    <w:framePr w:hSpace="141" w:wrap="around" w:vAnchor="text" w:hAnchor="text" w:xAlign="right" w:y="1"/>
                    <w:tabs>
                      <w:tab w:val="left" w:pos="1480"/>
                    </w:tabs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Przypomnienie podstawowych własności procesów ekonomicznych i finansowych oraz pojęć związanych z ich modelowaniem (procesy stochastyczne, szeregi czasowe, stacjonarność i jej konsekwencje dla modelowania). Wprowadzenie do modelowania z wykorzystaniem różnych skal czasowych.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1C9977A6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22AA5342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15D21CC3" w:rsidR="00704C72" w:rsidRPr="00DE526E" w:rsidRDefault="000E333C" w:rsidP="0005128A">
                  <w:pPr>
                    <w:framePr w:hSpace="141" w:wrap="around" w:vAnchor="text" w:hAnchor="text" w:xAlign="right" w:y="1"/>
                    <w:tabs>
                      <w:tab w:val="left" w:pos="1400"/>
                    </w:tabs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Statystyczne modele dynamiki procesów ekonomicznych i finansowych (np. cen akcji). Omówienie modeli ARIMA i ARFIMA. Analiza sezonowości procesów finansowych (sezonowość deterministyczna i stochastyczna). Prognozowanie z wykorzystaniem modeli SARIMA. Elementy analizy wahań i cykliczności- filtry spektralne (Hoddricka Prescotta, Baxter - Kinga, Christian - Fitzgeralda).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468FE33C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775E7FAE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66CB0BF1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Analiza i prognozowanie procesów zmienności (modele z klasy GARCH i ich rozszerzenia) w zastosowaniu do procesów finansowych.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190D5D06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7F553AD5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19423AB6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Modele dla danych finansowych wysokiej częstotliwości.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30B67C0F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03BEEAB4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3B5B1A99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Badanie efektywności rynków finansowych. Modele dla danych nietypowych (np. zawierających obserwacje odstające). Zastosowanie metod ekonometrycznych w arbitrażu statystycznym (analiza korelacji, kointegracja w finansowych szeregach czasowych). Modele VAR/ VECM.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63C20CDC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4E3EAF77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4A5174F7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 xml:space="preserve">Przypomnienie podstawowych własności procesów ekonomicznych i finansowych oraz </w:t>
                  </w:r>
                  <w:r w:rsidRPr="000E333C">
                    <w:rPr>
                      <w:rFonts w:ascii="Roboto Condensed" w:eastAsia="Calibri" w:hAnsi="Roboto Condensed" w:cs="Calibri"/>
                    </w:rPr>
                    <w:lastRenderedPageBreak/>
                    <w:t>pojęć związanych z ich modelowaniem (Procesy stochastyczne, szeregi czasowe, stacjonarność i jej konsekwencje dla modelowania). Wprowadzenie do modelowania z wykorzystaniem różnych skal czasowych w zastosowaniu do analizy empirycznych szeregów czasowych danych makroekonomicznych i finansowych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267443B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55DE4B49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733323B0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Statystyczne modele dynamiki procesów ekonomicznych i finansowych (np. cen akcji). Omówienie modeli ARIMA i ARFIMA. Analiza sezonowości procesów finansowych (sezonowość deterministyczna i stochastyczna). Prognozowanie z wykorzystaniem modeli SARIMA i zastosowaniem programów i pakietów do obliczeń statycznych i ekonometrycznych. Analiza i prognozowanie procesów w dziedzinie częstości. Elementy analizy spektralnej na przykładzie analizy stopnia synchronizacji cykli giełdowych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55569D9E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4BFB0E4E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4586D5E6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Analiza i prognozowanie procesów zmienności (modele z klasy GARCH i ich rozszerzenia) w zastosowaniu do procesów finansowych np. procesów krótkoterminowych stóp procentowych z wykorzystaniem pakietów do obliczeń numerycznych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76E9A3F1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7960978E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50450A3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A647F6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23867B" w14:textId="7CDAAA61" w:rsidR="00704C72" w:rsidRPr="00DE526E" w:rsidRDefault="000E333C" w:rsidP="0005128A">
                  <w:pPr>
                    <w:framePr w:hSpace="141" w:wrap="around" w:vAnchor="text" w:hAnchor="text" w:xAlign="right" w:y="1"/>
                    <w:tabs>
                      <w:tab w:val="left" w:pos="960"/>
                    </w:tabs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Modele dla danych finansowych wysokiej częstotliwości na przykładzie danych rzeczywistych - praktyczna estymacja i prognozowanie.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FEAD58F" w14:textId="7C4343D1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F0F7D41" w14:textId="09A31EE5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0588A3B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A4E301" w14:textId="7777777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A551BC" w14:textId="56F0EF05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0E333C">
                    <w:rPr>
                      <w:rFonts w:ascii="Roboto Condensed" w:eastAsia="Calibri" w:hAnsi="Roboto Condensed" w:cs="Calibri"/>
                    </w:rPr>
                    <w:t>Badanie efektywności rynków finansowych. Modele dla danych nietypowych (np. zawierających obserwacje odstające). Zastosowanie metod ekonometrycznych w arbitrażu statystycznym (analiza korelacji, kointegracja w finansowych szeregach czasowych)- analiza empiryczna z wykorzystaniem pakietów do obliczeń numerycznych. Analiza efektu przeniesienia polityki monetarnej na rynki finansowe (z wykorzystaniem metodologii VAR/VECM)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C3D983A" w14:textId="3B8D9F17" w:rsidR="00704C72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205B75E" w14:textId="51E4F7DB" w:rsidR="00704C72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</w:tbl>
          <w:p w14:paraId="3FBBE7A7" w14:textId="77777777" w:rsidR="008D31AA" w:rsidRPr="00DE526E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 w:rsidP="00FC6D9C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33DFBD5A" w:rsidR="008D31AA" w:rsidRPr="00185569" w:rsidRDefault="000E333C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  <w:sz w:val="20"/>
              </w:rPr>
              <w:t>wykład audytoryjny, ćwiczenia przedmiotowe, symulacja, analiza przypadku, praca z tekstem, ćwiczenia laboratoryjne, inne</w:t>
            </w:r>
          </w:p>
        </w:tc>
      </w:tr>
      <w:tr w:rsidR="008D31AA" w:rsidRPr="00DE526E" w14:paraId="1126731B" w14:textId="77777777" w:rsidTr="00FC6D9C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 w:rsidP="00FC6D9C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 w:rsidP="0005128A">
                  <w:pPr>
                    <w:framePr w:hSpace="141" w:wrap="around" w:vAnchor="text" w:hAnchor="text" w:xAlign="right" w:y="1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431CFA11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49B2274E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0308B853" w:rsidR="008D31AA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529ABFF7" w:rsidR="00AE0166" w:rsidRPr="00DE526E" w:rsidRDefault="00AE0166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67F4DB9D" w:rsidR="00AE0166" w:rsidRPr="00DE526E" w:rsidRDefault="000E333C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7E3D9675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272C2F08" w:rsidR="008D31AA" w:rsidRPr="00DE526E" w:rsidRDefault="00EB7898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</w:t>
                  </w:r>
                  <w:r w:rsidR="000E333C"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3EBE5E31" w:rsidR="008D31AA" w:rsidRPr="00DE526E" w:rsidRDefault="008D31AA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5128A">
                  <w:pPr>
                    <w:framePr w:hSpace="141" w:wrap="around" w:vAnchor="text" w:hAnchor="text" w:xAlign="right" w:y="1"/>
                    <w:spacing w:after="0" w:line="240" w:lineRule="auto"/>
                    <w:ind w:left="-505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 w:rsidP="00FC6D9C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Odniesienie do efektów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05128A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5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 w:rsidP="0005128A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FC6D9C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43406CB" w14:textId="77777777" w:rsidR="00185569" w:rsidRDefault="00185569" w:rsidP="00FC6D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Doman M., Doman R., (2009), Modelowanie zmienności i ryzyka. Metody ekonometrii finansowej, Oficyna a Wolters Kluwer business, Kraków.</w:t>
            </w:r>
          </w:p>
          <w:p w14:paraId="35B1B4FA" w14:textId="77777777" w:rsidR="00DA735A" w:rsidRDefault="00185569" w:rsidP="00FC6D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Koop G. (2014), Wprowadzenie do ekonometrii, Oficyna Wydawnicza Wolters Kluwer</w:t>
            </w:r>
          </w:p>
          <w:p w14:paraId="13C20FEC" w14:textId="77777777" w:rsidR="00185569" w:rsidRDefault="00185569" w:rsidP="00FC6D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Osińska M., (2006), Ekonometria finansowa, PWE, Warszawa.</w:t>
            </w:r>
          </w:p>
          <w:p w14:paraId="2533E6DC" w14:textId="77777777" w:rsidR="00185569" w:rsidRDefault="00185569" w:rsidP="00FC6D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Rubaszek M.(2012), Modelowanie polskiej gospodarki z pakietem R, Oficyna Wydawnicza SGH Warszawa</w:t>
            </w:r>
          </w:p>
          <w:p w14:paraId="7A8E7208" w14:textId="340D508E" w:rsidR="00185569" w:rsidRPr="00DA735A" w:rsidRDefault="00185569" w:rsidP="00FC6D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Zeliaś, A. , Pawełek, P., Wanat, S. (2008) Prognozowanie ekonomiczne, PWN.</w:t>
            </w:r>
          </w:p>
        </w:tc>
      </w:tr>
      <w:tr w:rsidR="008D31AA" w:rsidRPr="00DE526E" w14:paraId="3E8C3C6C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99791B6" w14:textId="77777777" w:rsidR="00DA735A" w:rsidRPr="008516AE" w:rsidRDefault="00185569" w:rsidP="00FC6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8516AE">
              <w:rPr>
                <w:rFonts w:ascii="Roboto Condensed" w:eastAsia="Calibri" w:hAnsi="Roboto Condensed" w:cs="Calibri"/>
                <w:lang w:val="en-US"/>
              </w:rPr>
              <w:t>Brockwell P.J., Davis R.A., (2002), Introduction to Time Series and Forecasting, Springer, New York.</w:t>
            </w:r>
          </w:p>
          <w:p w14:paraId="410A65B7" w14:textId="77777777" w:rsidR="00185569" w:rsidRDefault="00185569" w:rsidP="00FC6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Ch. L. Dunis (2001), Prognozowanie rynków finansowych. Kursy Walutowe. Stopy procentowe, zarządzanie aktywami, Oficyna Ekonomiczna, Kraków.</w:t>
            </w:r>
          </w:p>
          <w:p w14:paraId="0526DA2A" w14:textId="58DA8A76" w:rsidR="00185569" w:rsidRPr="00DA735A" w:rsidRDefault="00185569" w:rsidP="00FC6D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Kufel T.(2007), Ekonometria Rozwiązanie problemów z wykorzystaniem programu GRETL</w:t>
            </w:r>
          </w:p>
        </w:tc>
      </w:tr>
      <w:tr w:rsidR="008D31AA" w:rsidRPr="00DE526E" w14:paraId="1271EEE8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5D7B85EE" w:rsidR="008D31AA" w:rsidRPr="00DE526E" w:rsidRDefault="00185569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>Egzamin ustny i egzamin testowy</w:t>
            </w:r>
          </w:p>
        </w:tc>
      </w:tr>
      <w:tr w:rsidR="008D31AA" w:rsidRPr="00DE526E" w14:paraId="516DA2B3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0F0D11BF" w:rsidR="008D31AA" w:rsidRPr="00DE526E" w:rsidRDefault="00DA735A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185569">
              <w:rPr>
                <w:rFonts w:ascii="Roboto Condensed" w:eastAsia="Calibri" w:hAnsi="Roboto Condensed" w:cs="Calibri"/>
              </w:rPr>
              <w:t>Małgorzata Snarska</w:t>
            </w:r>
            <w:r>
              <w:rPr>
                <w:rFonts w:ascii="Roboto Condensed" w:eastAsia="Calibri" w:hAnsi="Roboto Condensed" w:cs="Calibri"/>
              </w:rPr>
              <w:t xml:space="preserve"> </w:t>
            </w:r>
            <w:r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FC6D9C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 w:rsidP="00FC6D9C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 w:rsidP="00FC6D9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28306009" w:rsidR="008D31AA" w:rsidRPr="00DE526E" w:rsidRDefault="00FC6D9C">
      <w:pPr>
        <w:spacing w:after="240" w:line="240" w:lineRule="auto"/>
        <w:rPr>
          <w:rFonts w:ascii="Roboto Condensed" w:eastAsia="Calibri" w:hAnsi="Roboto Condensed" w:cs="Calibri"/>
          <w:sz w:val="24"/>
        </w:rPr>
      </w:pPr>
      <w:r>
        <w:rPr>
          <w:rFonts w:ascii="Roboto Condensed" w:eastAsia="Calibri" w:hAnsi="Roboto Condensed" w:cs="Calibri"/>
          <w:sz w:val="24"/>
        </w:rPr>
        <w:br w:type="textWrapping" w:clear="all"/>
      </w: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395D" w14:textId="77777777" w:rsidR="005C2FB6" w:rsidRDefault="005C2FB6" w:rsidP="0061535F">
      <w:pPr>
        <w:spacing w:after="0" w:line="240" w:lineRule="auto"/>
      </w:pPr>
      <w:r>
        <w:separator/>
      </w:r>
    </w:p>
  </w:endnote>
  <w:endnote w:type="continuationSeparator" w:id="0">
    <w:p w14:paraId="452B00AB" w14:textId="77777777" w:rsidR="005C2FB6" w:rsidRDefault="005C2FB6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28A4" w14:textId="77777777" w:rsidR="005C2FB6" w:rsidRDefault="005C2FB6" w:rsidP="0061535F">
      <w:pPr>
        <w:spacing w:after="0" w:line="240" w:lineRule="auto"/>
      </w:pPr>
      <w:r>
        <w:separator/>
      </w:r>
    </w:p>
  </w:footnote>
  <w:footnote w:type="continuationSeparator" w:id="0">
    <w:p w14:paraId="1E05DD8F" w14:textId="77777777" w:rsidR="005C2FB6" w:rsidRDefault="005C2FB6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43FE8"/>
    <w:rsid w:val="0005128A"/>
    <w:rsid w:val="000764D3"/>
    <w:rsid w:val="00080011"/>
    <w:rsid w:val="000808EE"/>
    <w:rsid w:val="000E333C"/>
    <w:rsid w:val="000F76E7"/>
    <w:rsid w:val="001519EA"/>
    <w:rsid w:val="00185569"/>
    <w:rsid w:val="001D03FF"/>
    <w:rsid w:val="002230A2"/>
    <w:rsid w:val="002930D5"/>
    <w:rsid w:val="002D217D"/>
    <w:rsid w:val="003406A4"/>
    <w:rsid w:val="003F4BF1"/>
    <w:rsid w:val="004446D2"/>
    <w:rsid w:val="00453944"/>
    <w:rsid w:val="005104D5"/>
    <w:rsid w:val="005C2FB6"/>
    <w:rsid w:val="00606DA9"/>
    <w:rsid w:val="0061535F"/>
    <w:rsid w:val="0063721D"/>
    <w:rsid w:val="00663829"/>
    <w:rsid w:val="00666E24"/>
    <w:rsid w:val="00683722"/>
    <w:rsid w:val="00704C72"/>
    <w:rsid w:val="00756DD7"/>
    <w:rsid w:val="007E766C"/>
    <w:rsid w:val="00817D45"/>
    <w:rsid w:val="008516AE"/>
    <w:rsid w:val="008D31AA"/>
    <w:rsid w:val="008F39A1"/>
    <w:rsid w:val="009513CA"/>
    <w:rsid w:val="009C048F"/>
    <w:rsid w:val="00A621D4"/>
    <w:rsid w:val="00AE0166"/>
    <w:rsid w:val="00B957DF"/>
    <w:rsid w:val="00BA08D9"/>
    <w:rsid w:val="00C93F95"/>
    <w:rsid w:val="00DA735A"/>
    <w:rsid w:val="00DE330B"/>
    <w:rsid w:val="00DE526E"/>
    <w:rsid w:val="00E50D15"/>
    <w:rsid w:val="00EB7898"/>
    <w:rsid w:val="00F26578"/>
    <w:rsid w:val="00FA3749"/>
    <w:rsid w:val="00FC56B0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9513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312ED4"/>
    <w:rsid w:val="004670D1"/>
    <w:rsid w:val="00592CA2"/>
    <w:rsid w:val="00671F2D"/>
    <w:rsid w:val="007B2CBC"/>
    <w:rsid w:val="008937C5"/>
    <w:rsid w:val="008D4DD2"/>
    <w:rsid w:val="00B13172"/>
    <w:rsid w:val="00BA2DC5"/>
    <w:rsid w:val="00C53DDB"/>
    <w:rsid w:val="00CF16A5"/>
    <w:rsid w:val="00E52816"/>
    <w:rsid w:val="00EA7B2D"/>
    <w:rsid w:val="00EB0D70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2020-03-29T11:46:00Z</dcterms:created>
  <dcterms:modified xsi:type="dcterms:W3CDTF">2020-03-29T11:50:00Z</dcterms:modified>
</cp:coreProperties>
</file>