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04" w:rsidRDefault="00C02604" w:rsidP="00C02604"/>
    <w:p w:rsidR="00C02604" w:rsidRDefault="002D5C02" w:rsidP="00C02604">
      <w:r>
        <w:t>Przedmioty realizowane na</w:t>
      </w:r>
      <w:r w:rsidR="00C02604">
        <w:t xml:space="preserve"> specjalności </w:t>
      </w:r>
      <w:r w:rsidR="00C02604">
        <w:rPr>
          <w:b/>
        </w:rPr>
        <w:t>Zarządzanie bankiem</w:t>
      </w:r>
      <w:r w:rsidR="00C02604">
        <w:t xml:space="preserve"> II st</w:t>
      </w:r>
      <w:r>
        <w:t>opień studiów niestacjonarnych</w:t>
      </w:r>
    </w:p>
    <w:p w:rsidR="00C02604" w:rsidRPr="00C02604" w:rsidRDefault="00C02604" w:rsidP="00C02604">
      <w:pPr>
        <w:pStyle w:val="Akapitzlist"/>
        <w:numPr>
          <w:ilvl w:val="0"/>
          <w:numId w:val="2"/>
        </w:numPr>
        <w:spacing w:before="120"/>
        <w:rPr>
          <w:rFonts w:cs="Times New Roman"/>
          <w:szCs w:val="24"/>
        </w:rPr>
      </w:pPr>
      <w:r w:rsidRPr="00C02604">
        <w:rPr>
          <w:rFonts w:cs="Times New Roman"/>
          <w:szCs w:val="24"/>
        </w:rPr>
        <w:t>Analiza finansowa i prognozowanie upadłości przedsiębiorstw</w:t>
      </w:r>
      <w:bookmarkStart w:id="0" w:name="_GoBack"/>
      <w:bookmarkEnd w:id="0"/>
    </w:p>
    <w:p w:rsidR="00C02604" w:rsidRPr="00C02604" w:rsidRDefault="00C02604" w:rsidP="00C02604">
      <w:pPr>
        <w:pStyle w:val="Akapitzlist"/>
        <w:numPr>
          <w:ilvl w:val="0"/>
          <w:numId w:val="2"/>
        </w:numPr>
        <w:spacing w:before="120"/>
        <w:rPr>
          <w:rFonts w:cs="Times New Roman"/>
          <w:szCs w:val="24"/>
        </w:rPr>
      </w:pPr>
      <w:r w:rsidRPr="00C02604">
        <w:rPr>
          <w:rFonts w:cs="Times New Roman"/>
          <w:szCs w:val="24"/>
        </w:rPr>
        <w:t>Analiza rynku i konsumenta usług finansowych</w:t>
      </w:r>
    </w:p>
    <w:p w:rsidR="00C02604" w:rsidRDefault="00C02604" w:rsidP="00C02604">
      <w:pPr>
        <w:pStyle w:val="Akapitzlist"/>
        <w:numPr>
          <w:ilvl w:val="0"/>
          <w:numId w:val="2"/>
        </w:numPr>
        <w:spacing w:before="120"/>
        <w:rPr>
          <w:rFonts w:cs="Times New Roman"/>
          <w:szCs w:val="24"/>
        </w:rPr>
      </w:pPr>
      <w:r w:rsidRPr="00C02604">
        <w:rPr>
          <w:rFonts w:cs="Times New Roman"/>
          <w:szCs w:val="24"/>
        </w:rPr>
        <w:t>Bank na rynku finansowym</w:t>
      </w:r>
    </w:p>
    <w:p w:rsidR="00C02604" w:rsidRPr="002D5C02" w:rsidRDefault="00C02604" w:rsidP="00C02604">
      <w:pPr>
        <w:pStyle w:val="Akapitzlist"/>
        <w:numPr>
          <w:ilvl w:val="0"/>
          <w:numId w:val="2"/>
        </w:numPr>
        <w:spacing w:before="120"/>
        <w:rPr>
          <w:rFonts w:cs="Times New Roman"/>
          <w:szCs w:val="24"/>
        </w:rPr>
      </w:pPr>
      <w:r w:rsidRPr="002D5C02">
        <w:rPr>
          <w:rFonts w:cs="Times New Roman"/>
          <w:szCs w:val="24"/>
        </w:rPr>
        <w:t>Bankowość specjalistyczna</w:t>
      </w:r>
    </w:p>
    <w:p w:rsidR="002D5C02" w:rsidRPr="002D5C02" w:rsidRDefault="002D5C02" w:rsidP="002D5C02">
      <w:pPr>
        <w:pStyle w:val="Akapitzlist"/>
        <w:numPr>
          <w:ilvl w:val="0"/>
          <w:numId w:val="2"/>
        </w:numPr>
        <w:spacing w:before="120"/>
        <w:rPr>
          <w:rFonts w:cs="Times New Roman"/>
          <w:szCs w:val="24"/>
        </w:rPr>
      </w:pPr>
      <w:proofErr w:type="spellStart"/>
      <w:r w:rsidRPr="002D5C02">
        <w:rPr>
          <w:rFonts w:cs="Times New Roman"/>
          <w:szCs w:val="24"/>
        </w:rPr>
        <w:t>Megabanki</w:t>
      </w:r>
      <w:proofErr w:type="spellEnd"/>
      <w:r w:rsidRPr="002D5C02">
        <w:rPr>
          <w:rFonts w:cs="Times New Roman"/>
          <w:szCs w:val="24"/>
        </w:rPr>
        <w:t xml:space="preserve"> na globalnym rynku finansowym</w:t>
      </w:r>
    </w:p>
    <w:p w:rsidR="00C02604" w:rsidRPr="00C02604" w:rsidRDefault="00C02604" w:rsidP="00C02604">
      <w:pPr>
        <w:pStyle w:val="Akapitzlist"/>
        <w:numPr>
          <w:ilvl w:val="0"/>
          <w:numId w:val="2"/>
        </w:numPr>
        <w:spacing w:before="120"/>
        <w:rPr>
          <w:rFonts w:cs="Times New Roman"/>
          <w:szCs w:val="24"/>
        </w:rPr>
      </w:pPr>
      <w:r w:rsidRPr="00C02604">
        <w:rPr>
          <w:rFonts w:cs="Times New Roman"/>
          <w:szCs w:val="24"/>
        </w:rPr>
        <w:t>Rachunkowość bankowa</w:t>
      </w:r>
    </w:p>
    <w:p w:rsidR="00C02604" w:rsidRPr="00C02604" w:rsidRDefault="00C02604" w:rsidP="00C02604">
      <w:pPr>
        <w:pStyle w:val="Akapitzlist"/>
        <w:numPr>
          <w:ilvl w:val="0"/>
          <w:numId w:val="2"/>
        </w:numPr>
        <w:spacing w:before="120"/>
        <w:rPr>
          <w:rFonts w:cs="Times New Roman"/>
          <w:szCs w:val="24"/>
        </w:rPr>
      </w:pPr>
      <w:r w:rsidRPr="00C02604">
        <w:rPr>
          <w:rFonts w:cs="Times New Roman"/>
          <w:szCs w:val="24"/>
        </w:rPr>
        <w:t>Zarządzanie ryzykiem finansowym</w:t>
      </w:r>
    </w:p>
    <w:p w:rsidR="00C02604" w:rsidRDefault="00C02604" w:rsidP="00C02604">
      <w:pPr>
        <w:pStyle w:val="Akapitzlist"/>
        <w:numPr>
          <w:ilvl w:val="0"/>
          <w:numId w:val="2"/>
        </w:numPr>
        <w:spacing w:before="120"/>
        <w:rPr>
          <w:rFonts w:cs="Times New Roman"/>
          <w:szCs w:val="24"/>
        </w:rPr>
      </w:pPr>
      <w:r w:rsidRPr="00C02604">
        <w:rPr>
          <w:rFonts w:cs="Times New Roman"/>
          <w:szCs w:val="24"/>
        </w:rPr>
        <w:t>Zarządzanie strategiczne bankiem</w:t>
      </w:r>
    </w:p>
    <w:p w:rsidR="008B0F18" w:rsidRDefault="008B0F18" w:rsidP="008B0F18">
      <w:pPr>
        <w:spacing w:before="120"/>
        <w:rPr>
          <w:rFonts w:cs="Times New Roman"/>
          <w:szCs w:val="24"/>
        </w:rPr>
      </w:pPr>
    </w:p>
    <w:p w:rsidR="008B0F18" w:rsidRPr="008B0F18" w:rsidRDefault="008B0F18" w:rsidP="008B0F18">
      <w:pPr>
        <w:spacing w:before="120"/>
        <w:rPr>
          <w:rFonts w:cs="Times New Roman"/>
          <w:szCs w:val="24"/>
        </w:rPr>
      </w:pPr>
    </w:p>
    <w:p w:rsidR="00C02604" w:rsidRPr="00C02604" w:rsidRDefault="00C02604" w:rsidP="00C02604">
      <w:pPr>
        <w:rPr>
          <w:rFonts w:cs="Times New Roman"/>
          <w:szCs w:val="24"/>
        </w:rPr>
      </w:pPr>
    </w:p>
    <w:sectPr w:rsidR="00C02604" w:rsidRPr="00C0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4F4F"/>
    <w:multiLevelType w:val="hybridMultilevel"/>
    <w:tmpl w:val="9D08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16AFE"/>
    <w:multiLevelType w:val="hybridMultilevel"/>
    <w:tmpl w:val="A214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04"/>
    <w:rsid w:val="002D5C02"/>
    <w:rsid w:val="008B0F18"/>
    <w:rsid w:val="00A9471A"/>
    <w:rsid w:val="00C0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8A74"/>
  <w15:chartTrackingRefBased/>
  <w15:docId w15:val="{E1876BCB-E3BA-45F0-B29D-B08B3261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Kożuch</dc:creator>
  <cp:keywords/>
  <dc:description/>
  <cp:lastModifiedBy>Małgorzata Kożuch</cp:lastModifiedBy>
  <cp:revision>4</cp:revision>
  <dcterms:created xsi:type="dcterms:W3CDTF">2020-03-29T09:15:00Z</dcterms:created>
  <dcterms:modified xsi:type="dcterms:W3CDTF">2020-03-29T11:27:00Z</dcterms:modified>
</cp:coreProperties>
</file>